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F2" w:rsidRPr="00AB2DE5" w:rsidRDefault="00AB2DE5" w:rsidP="00C51157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1251F2"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</w:t>
      </w:r>
      <w:r w:rsidR="001251F2"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</w:t>
      </w:r>
      <w:r w:rsidR="001251F2"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</w:t>
      </w:r>
      <w:r w:rsidR="001251F2"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</w:t>
      </w:r>
      <w:r w:rsidR="001251F2"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1251F2"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Ž</w:t>
      </w:r>
      <w:r w:rsidR="001251F2"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  <w:r w:rsidR="001251F2"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NJ</w:t>
      </w:r>
      <w:r w:rsidR="001251F2"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</w:p>
    <w:p w:rsidR="001251F2" w:rsidRPr="00AB2DE5" w:rsidRDefault="001251F2" w:rsidP="00C51157">
      <w:pPr>
        <w:spacing w:line="360" w:lineRule="auto"/>
        <w:ind w:firstLine="720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1251F2" w:rsidRPr="00AB2DE5" w:rsidRDefault="001251F2" w:rsidP="00C51157">
      <w:pPr>
        <w:spacing w:line="360" w:lineRule="auto"/>
        <w:ind w:firstLine="720"/>
        <w:rPr>
          <w:rFonts w:ascii="Times New Roman" w:hAnsi="Times New Roman"/>
          <w:b/>
          <w:noProof/>
          <w:sz w:val="24"/>
          <w:szCs w:val="24"/>
          <w:lang w:val="sr-Latn-CS"/>
        </w:rPr>
      </w:pPr>
      <w:smartTag w:uri="urn:schemas-microsoft-com:office:smarttags" w:element="place">
        <w:r w:rsidRPr="00AB2DE5">
          <w:rPr>
            <w:rFonts w:ascii="Times New Roman" w:hAnsi="Times New Roman"/>
            <w:b/>
            <w:noProof/>
            <w:sz w:val="24"/>
            <w:szCs w:val="24"/>
            <w:lang w:val="sr-Latn-CS"/>
          </w:rPr>
          <w:t>I.</w:t>
        </w:r>
      </w:smartTag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USTAVNI</w:t>
      </w: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OSNOV</w:t>
      </w: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1251F2" w:rsidRPr="00AB2DE5" w:rsidRDefault="00AB2DE5" w:rsidP="00265B4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suzbijanju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97.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1251F2" w:rsidP="00265B4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251F2" w:rsidRPr="00AB2DE5" w:rsidRDefault="001251F2" w:rsidP="00C5115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1251F2" w:rsidRPr="00AB2DE5" w:rsidRDefault="001251F2" w:rsidP="00C51157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II.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RAZLOZI</w:t>
      </w: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1251F2" w:rsidRPr="00AB2DE5" w:rsidRDefault="001251F2" w:rsidP="00C51157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251F2" w:rsidRPr="00AB2DE5" w:rsidRDefault="00AB2DE5" w:rsidP="00C51157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Važeći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suzbijanju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teških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42/02, 27/03, 39/03, 67/03, 29/04, 58/04 –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45/05, 61/05, 72/09, 72/11 –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101/11 –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32/13),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još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2002.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suzbijanje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teških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4936FB">
      <w:pPr>
        <w:pStyle w:val="Normal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Međutim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uočeni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nedostaci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ovih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državnih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nametnuli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potrebu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redefinisanja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njihove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organizacione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strukture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zakonskog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uređenja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koordinacije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međusobne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saradnje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razmene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otkrivanja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krivičnog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gonjenja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suđenja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koruptivna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teška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krivična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F85099">
      <w:pPr>
        <w:pStyle w:val="Normal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Postojeći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unutrašnji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adekvatne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mehanizme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povezivanje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širokog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kruga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koncetracije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znanja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zavisnosti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svakog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konkretnog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tužiocu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osnovno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gonjenje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učinilaca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krivičnih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pružalo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jaku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potporu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samo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sprovođenje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istrage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prikupljanje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materijala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podizanje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optužnog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akta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već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dalje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tokom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sudskog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postupka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sve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pravosnažnog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okončanja</w:t>
      </w:r>
      <w:r w:rsidR="001251F2" w:rsidRPr="00AB2DE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1251F2" w:rsidRPr="00AB2DE5" w:rsidRDefault="00AB2DE5" w:rsidP="008F0404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ovakvog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proizlazi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borbu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57/13),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pratećeg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79/13),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istraga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43/15)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1251F2" w:rsidRPr="00AB2DE5" w:rsidRDefault="001251F2" w:rsidP="001A0F13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Naime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delu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nosi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naslov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Reforma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postojećeg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istraga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finansijskog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opisu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delotvornih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represivnih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navodi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napredni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alati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tehnike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borbe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finansijskog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unutrašnja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policije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tužilaštva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sudova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policije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tužilaštva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Poreske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sprečavanje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pranja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novca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finansijska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forenzika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uređeni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novim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organizaciji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suzbijanju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teških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krivičnih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1251F2" w:rsidRPr="00AB2DE5" w:rsidRDefault="001251F2" w:rsidP="003956C1">
      <w:pPr>
        <w:pStyle w:val="NoSpacing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ab/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Predloženi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normativno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rešava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organizacionog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karaktera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neophodna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efikasnu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borbu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finansijskog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službene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uspostavljanja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koncentracije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najboljih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ljudskih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materijalnih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mestu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Startegijom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krivična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dela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protiv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privrede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krivična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dela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protiv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službene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dužnosti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određena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kao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krivična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dela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finansijskog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kriminala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korupcije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</w:p>
    <w:p w:rsidR="001251F2" w:rsidRPr="00AB2DE5" w:rsidRDefault="001251F2" w:rsidP="003956C1">
      <w:pPr>
        <w:pStyle w:val="NoSpacing"/>
        <w:jc w:val="both"/>
        <w:rPr>
          <w:rFonts w:ascii="Times New Roman" w:hAnsi="Times New Roman"/>
          <w:noProof/>
          <w:sz w:val="24"/>
          <w:szCs w:val="24"/>
          <w:u w:val="single"/>
          <w:lang w:val="sr-Latn-CS"/>
        </w:rPr>
      </w:pP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Dakle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predstavlja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osnovu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realizaciju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svih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ciljeva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postavlja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Strategija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kako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pogledu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delotvornih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represivnih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organa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tako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pogledu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unapređene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saradnje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kroz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posebne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novine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vidu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uvođenja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službenika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vezu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udarnih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grupa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finasijskih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forenzičara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naš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represivni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sistem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1251F2" w:rsidRPr="00AB2DE5" w:rsidRDefault="00AB2DE5" w:rsidP="00E75D7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proizlazi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naša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potvrdila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shodno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hijerarhiji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unutrašnjeg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poretka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neposredno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Ujedinjenih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nezakonitog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opojnih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droga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psihotropnih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SFRJ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14/90),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pranju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traženju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zapleni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konfiskaciji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stečenih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7/02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SCG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18/05),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Krivičnopravna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2/02,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SCG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18/05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glasnik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RS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–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broj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102/07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Ujedinjenih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transnacionalnog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6/01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SCG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11/05),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Ujedinjenih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SCG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12/05),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pranju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traženju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zapleni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oduzimanju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stečenih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19/09),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mehanizama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olakšalo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1251F2" w:rsidRPr="00AB2DE5">
        <w:rPr>
          <w:noProof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borbi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istovremene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istrage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krijumčarenja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droge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Preporukom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istovremenim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istragama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/>
          <w:noProof/>
          <w:sz w:val="24"/>
          <w:szCs w:val="24"/>
          <w:lang w:val="sr-Latn-CS"/>
        </w:rPr>
        <w:t>aprila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2002.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istaći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usaglašen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40 </w:t>
      </w:r>
      <w:r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revidiranih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preporuka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FATF-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proširiti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čemu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akcenat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multidisciplinarnih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istraga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1251F2" w:rsidRPr="00AB2DE5" w:rsidRDefault="001251F2" w:rsidP="002D561E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251F2" w:rsidRPr="00AB2DE5" w:rsidRDefault="001251F2" w:rsidP="00DF7915">
      <w:pPr>
        <w:pStyle w:val="Normal1"/>
        <w:shd w:val="clear" w:color="auto" w:fill="FFFFFF"/>
        <w:spacing w:before="0" w:beforeAutospacing="0" w:after="0" w:afterAutospacing="0" w:line="308" w:lineRule="atLeas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B2DE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1251F2" w:rsidRPr="00AB2DE5" w:rsidRDefault="001251F2" w:rsidP="00DF7915">
      <w:pPr>
        <w:pStyle w:val="Normal1"/>
        <w:shd w:val="clear" w:color="auto" w:fill="FFFFFF"/>
        <w:spacing w:before="0" w:beforeAutospacing="0" w:after="0" w:afterAutospacing="0" w:line="308" w:lineRule="atLeas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251F2" w:rsidRPr="00AB2DE5" w:rsidRDefault="001251F2" w:rsidP="00C51157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III.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OBJAŠNJENJE</w:t>
      </w: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POJEDINAČNIH</w:t>
      </w: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REŠENJA</w:t>
      </w:r>
    </w:p>
    <w:p w:rsidR="001251F2" w:rsidRPr="00AB2DE5" w:rsidRDefault="001251F2" w:rsidP="00C51157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251F2" w:rsidRPr="00AB2DE5" w:rsidRDefault="001251F2" w:rsidP="0053041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ab/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devet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glava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uvodne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nadležnost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suzbijanju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nadležnost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suzbijanju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forenzike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saradnja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obuka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imovnom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stanju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bezbednosne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provere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čuvanje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tajnih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prelazne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završne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4C25FB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Uvodnim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navode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čemu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otkrivanja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gonjenja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suđenja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uvek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počinjeno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deluje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teža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neposrednog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posrednog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sticanja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310.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311.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Glavi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trideset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360.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369,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revidirana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5) </w:t>
      </w:r>
      <w:r>
        <w:rPr>
          <w:rFonts w:ascii="Times New Roman" w:hAnsi="Times New Roman"/>
          <w:noProof/>
          <w:sz w:val="24"/>
          <w:szCs w:val="24"/>
          <w:lang w:val="sr-Latn-CS"/>
        </w:rPr>
        <w:t>istog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čovečnosti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pravosuđa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postavljena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primenjivati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1)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5)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D77675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suzbijanju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3.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8C23AB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suzbijanje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1), 2)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5)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suzbijanje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odlučujući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subjektivnog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karaktera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tiče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svojstva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izvršioca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izabranom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imenovanom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postavljenom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odlučujući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objektivnog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karaktera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tiče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prelaska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postavljenog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imovinskog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cenzusa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imovinsku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relevantna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200.000.000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800.000.000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tiče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pravosuđa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suzbijanje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postupaće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1)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potiče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1)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AC0246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krug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Tužilaštvo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unutrašnjih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251F2" w:rsidRPr="00AB2DE5">
        <w:rPr>
          <w:rFonts w:ascii="Tahoma" w:hAnsi="Tahoma" w:cs="Tahoma"/>
          <w:noProof/>
          <w:sz w:val="24"/>
          <w:szCs w:val="24"/>
          <w:lang w:val="sr-Latn-CS"/>
        </w:rPr>
        <w:t>̶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suzbijanje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Apelacionog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pritvorska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Okružnog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1251F2" w:rsidRPr="00AB2DE5" w:rsidRDefault="00AB2DE5" w:rsidP="008C23AB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Nadležnost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rukovođenje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Tužilaštvom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iskustvo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kandidat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prednost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Tužioca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zamenika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1251F2" w:rsidRPr="00AB2DE5" w:rsidRDefault="00AB2DE5" w:rsidP="00D02C33">
      <w:pPr>
        <w:pStyle w:val="NoSpacing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Organizaciona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suzbijanje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unutrašnjih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policijskih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Starešinu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ove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organizacione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jedinice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postavlja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razrešava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ministar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nadležan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unutrašnje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poslove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uz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pribavljeno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mišljenje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Tužioca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organizovani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kriminal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</w:p>
    <w:p w:rsidR="001251F2" w:rsidRPr="00AB2DE5" w:rsidRDefault="00AB2DE5" w:rsidP="00D3225C">
      <w:pPr>
        <w:pStyle w:val="NoSpacing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Odredbom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propisano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Viši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sud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Beogradu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nadležan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prvom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stepenu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teritoriju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suđenje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postupcima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krivična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navedena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članu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čemu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nadležnost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Višeg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suda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vrši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8C23AB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Istim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odeljenjem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rukovodi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predsednik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predsednik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vodeći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tiče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iskustva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Dužina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iskustva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raspoređivanja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predsednik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raspoređuju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raspoređivanja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upućivanja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vodilo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nepremostivosti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raspoređuje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upućuje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1251F2" w:rsidP="008C23AB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razliku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zamenika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tužioca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upućivanje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Tužilaštvo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organizovani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kriminal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isteka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maksimalnog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perioda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trajanja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produženo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sudiju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upućenog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odeljenje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Višeg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organizovani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kriminal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ovde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predlaganja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Tužioca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organizovani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kriminal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zamenika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prednost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raspoređivanja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upućivanja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sudijama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poseduju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stručna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znanja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iskustvo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borbe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8C23AB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Odredbom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propisano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Apelacioni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sud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Beogradu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nadležan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drugom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stepenu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teritoriju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suđenje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postupcima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krivična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navedena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članu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čemu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nadležnost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Apelacionog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suda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vrši</w:t>
      </w:r>
      <w:r w:rsidR="001251F2" w:rsidRPr="00AB2DE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Apelacionog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tiču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rukovođenja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odeljenjem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raspoređivanja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upućivanja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kvalifikacija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prednost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identična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8C23AB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postupajući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odredio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pritvor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prisustva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okrivljenog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nesmetano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vođenje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počinio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3. 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izdržava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pritvorskoj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Okružnog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1251F2" w:rsidRPr="00AB2DE5" w:rsidRDefault="00AB2DE5" w:rsidP="00723AAC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maksimalnog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terorizma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zadržano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važećem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sp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đ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bn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o o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lj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Viš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bn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o o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lj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e A</w:t>
      </w:r>
      <w:r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ci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T</w:t>
      </w:r>
      <w:r>
        <w:rPr>
          <w:rFonts w:ascii="Times New Roman" w:hAnsi="Times New Roman"/>
          <w:noProof/>
          <w:sz w:val="24"/>
          <w:szCs w:val="24"/>
          <w:lang w:val="sr-Latn-CS"/>
        </w:rPr>
        <w:t>užioca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ve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nike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staž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uvećenim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trajanjem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FA547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Glava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III.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suzbijanju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tužilaštava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suzbijanje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unutrašnjih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1251F2" w:rsidRPr="00AB2DE5">
        <w:rPr>
          <w:rFonts w:ascii="Tahoma" w:hAnsi="Tahoma" w:cs="Tahoma"/>
          <w:noProof/>
          <w:sz w:val="24"/>
          <w:szCs w:val="24"/>
          <w:lang w:val="sr-Latn-CS"/>
        </w:rPr>
        <w:t>̶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suzbijanje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suzbijanje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Dakle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osnivaju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tužilaštava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Apelaciona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tužilaštva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tužilaštava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Beogradu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Kraljevu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Nišu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Novom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Sadu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suzbijanje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846E5D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Rukovođenje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tužilaštva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rukovođenje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suzbijanje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18.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1251F2" w:rsidRPr="00AB2DE5" w:rsidRDefault="00AB2DE5" w:rsidP="00FA547E">
      <w:pPr>
        <w:pStyle w:val="NoSpacing"/>
        <w:ind w:firstLine="720"/>
        <w:jc w:val="both"/>
        <w:rPr>
          <w:rFonts w:ascii="Times New Roman" w:hAnsi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policijske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unutrašnjih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suzbijanje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organizacione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odrediti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policijski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službenik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ulogu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koordinatora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FF28C1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postići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jačanje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kapaciteta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tužilaštva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obezbeđivanje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adekvatnih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tužilaštva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pojam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forenzike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multidisciplinarne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objedinjuje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forenzike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forenzičar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pomaže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tužiocu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transakcija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gonjenja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poseduje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računovodstva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revizije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bankarskog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berzanskog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završilo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specijalizovanu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obuku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Pravosudnoj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akedimiji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tiče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forenzičara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tužilaštva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provere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posedovanja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urediti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tužioca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1251F2" w:rsidRPr="00AB2DE5" w:rsidRDefault="00AB2DE5" w:rsidP="00E6341E">
      <w:pPr>
        <w:pStyle w:val="NoSpacing"/>
        <w:ind w:firstLine="720"/>
        <w:jc w:val="both"/>
        <w:rPr>
          <w:rFonts w:ascii="Times New Roman" w:hAnsi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Glava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V. 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unapređeni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sistem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saradnje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represivnih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drugim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državnim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organima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kroz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novine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vidu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uvođenja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službenika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vezu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udarnih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grupa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Krug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državnih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organizacija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dužni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odrede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službenike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vezu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radi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ostvarivanja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saradnje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efikasnijeg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dostavljanja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podataka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tih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organizacija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Tužilaštvu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organizovani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kriminal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posebnih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odeljenja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viših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javnih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tužilaštva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taksativno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određen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odredbom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20.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Dužnost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određivanja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službenika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vezu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može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postojati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kod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drugih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državnih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organizacija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koji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nisu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taksativno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navedeni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ukoliko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takav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zahtev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postavi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nadležni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javni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tužilac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Propisana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mogućnost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privremeno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premestiti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službenika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vezu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Tužilaštvo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organizovani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kriminal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lastRenderedPageBreak/>
        <w:t>posebno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odeljenje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višeg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javnog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tužilaštva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suzbijanje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korupcije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sve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zahtev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nadležnog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javnog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tužioca</w:t>
      </w:r>
      <w:r w:rsidR="001251F2"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. </w:t>
      </w:r>
    </w:p>
    <w:p w:rsidR="001251F2" w:rsidRPr="00AB2DE5" w:rsidRDefault="00AB2DE5" w:rsidP="0089527E">
      <w:pPr>
        <w:pStyle w:val="NoSpacing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druge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pored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gore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navedenog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mehanizma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omogućava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efikasnu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horizontalnu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vertikalnu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saradnju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represivnih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drugim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državnim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organima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insitucijama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regulatornim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nadzornim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telima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propisuje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mogućnost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osnivanja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još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jednog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naprednog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alata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razrešenje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naročito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složenih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pitanja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pitanju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udarne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grupe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oformljene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ostvarenja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zajedničk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cilja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čiji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sastav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ulaze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stručnjaci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različitih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profila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zavisnosti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oblasti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traženog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delovanja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Njihov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postojanje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vremenski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organičeno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iscrpljuje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realizacijom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zadataka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kojih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oformljene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Obrazovanje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udarne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grupe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rukovođenje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grupom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njen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sastav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uređeni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21.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23.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1251F2" w:rsidRPr="00AB2DE5" w:rsidRDefault="00AB2DE5" w:rsidP="00D769C5">
      <w:pPr>
        <w:pStyle w:val="NoSpacing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cilju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obezbeđivanja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kontinuiranog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usavršavanja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nosilaca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pravosudnih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pripadnika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policije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odredbom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24.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propisana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dužnost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pohađanja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stalne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obuke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organizuje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Pravosudna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akademija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bilo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samostalno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bilo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saradnji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drugim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institucijama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1251F2" w:rsidRPr="00AB2DE5" w:rsidRDefault="00AB2DE5" w:rsidP="002D0D2A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zadatke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organizacionim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4.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podležu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proveri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bezbedonosnoj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proveri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ustanovljava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proveru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zadatke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organizacionim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4.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proveru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povezanih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proverom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potpunih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čemu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prostire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povezanih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maloletne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dece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porodočnom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domaćinstvu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unutrašnje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informativna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obaviti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bezbedonosno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proveravanje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zadatke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organizacionim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4.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prestanku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C83DD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Posebna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pažnja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posvećena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zbog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složenosti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predmeta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opasnosti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ometanja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nadležnih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državnih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imperativnom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27.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propisano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izvršavaju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zadatke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suzbijanju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saznanja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dođu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zadataka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tajnost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tužioca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predistražnog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istrage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postupcima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1251F2" w:rsidRPr="00AB2DE5" w:rsidRDefault="00AB2DE5" w:rsidP="001C0E4D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Glavi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IX.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Prelazne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28.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33)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nastavak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početak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obrazuju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precizirana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okončanje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započetih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podzakonskih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danom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suzbijanju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teških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krivičnih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42/02, 27/03, 39/03, 67/03, 29/04, 58/04 –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45/05, 61/05, 72/09, 72/11 –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101/11 –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32/13).</w:t>
      </w:r>
    </w:p>
    <w:p w:rsidR="001251F2" w:rsidRPr="00AB2DE5" w:rsidRDefault="00AB2DE5" w:rsidP="001C0E4D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organizacione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strukture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represivnih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završnom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33.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nužno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251F2" w:rsidRPr="00AB2DE5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vacatio legis,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počinje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marta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1251F2" w:rsidP="0029442F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251F2" w:rsidRPr="00AB2DE5" w:rsidRDefault="001251F2" w:rsidP="0029442F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251F2" w:rsidRPr="00AB2DE5" w:rsidRDefault="001251F2" w:rsidP="00C51157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IV.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FINANSIJSKA</w:t>
      </w: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SREDSTVA</w:t>
      </w: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POTREBNA</w:t>
      </w: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PRIMENU</w:t>
      </w: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1251F2" w:rsidRPr="00AB2DE5" w:rsidRDefault="001251F2" w:rsidP="00C51157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2018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Procena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kvalitativnih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elemenata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opisnih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elemenata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budžetiranje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1251F2" w:rsidRPr="00AB2DE5" w:rsidRDefault="001251F2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Kao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polazn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korišćena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izrađena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 w:eastAsia="sr-Latn-CS"/>
        </w:rPr>
        <w:t>organizacione</w:t>
      </w:r>
      <w:r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 w:eastAsia="sr-Latn-CS"/>
        </w:rPr>
        <w:t>strukture</w:t>
      </w:r>
      <w:r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 w:eastAsia="sr-Latn-CS"/>
        </w:rPr>
        <w:t>kapaciteta</w:t>
      </w:r>
      <w:r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 w:eastAsia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 w:eastAsia="sr-Latn-CS"/>
        </w:rPr>
        <w:t>ovlašćenja</w:t>
      </w:r>
      <w:r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 w:eastAsia="sr-Latn-CS"/>
        </w:rPr>
        <w:t>državnih</w:t>
      </w:r>
      <w:r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 w:eastAsia="sr-Latn-CS"/>
        </w:rPr>
        <w:t>organa</w:t>
      </w:r>
      <w:r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 w:eastAsia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 w:eastAsia="sr-Latn-CS"/>
        </w:rPr>
        <w:t>borbi</w:t>
      </w:r>
      <w:r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 w:eastAsia="sr-Latn-CS"/>
        </w:rPr>
        <w:t>protiv</w:t>
      </w:r>
      <w:r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 w:eastAsia="sr-Latn-CS"/>
        </w:rPr>
        <w:t>organizovanog</w:t>
      </w:r>
      <w:r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 w:eastAsia="sr-Latn-CS"/>
        </w:rPr>
        <w:t>kriminala</w:t>
      </w:r>
      <w:r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 w:eastAsia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 w:eastAsia="sr-Latn-CS"/>
        </w:rPr>
        <w:t>korupcije</w:t>
      </w:r>
      <w:r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 w:eastAsia="sr-Latn-CS"/>
        </w:rPr>
        <w:t>sa</w:t>
      </w:r>
      <w:r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 w:eastAsia="sr-Latn-CS"/>
        </w:rPr>
        <w:t>posebnim</w:t>
      </w:r>
      <w:r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 w:eastAsia="sr-Latn-CS"/>
        </w:rPr>
        <w:t>osvrtom</w:t>
      </w:r>
      <w:r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 w:eastAsia="sr-Latn-CS"/>
        </w:rPr>
        <w:t>na</w:t>
      </w:r>
      <w:r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koruptivnim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elementom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Krivičnim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zakonikom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 w:eastAsia="sr-Latn-CS"/>
        </w:rPr>
        <w:t>osnovu</w:t>
      </w: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koruptivnih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osnovnim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višim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tužilaštvima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sva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apelaciona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tužilaštva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Tužilaštva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organizovani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kriminal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opterećenosti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zamenika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tužioca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Višem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tužilaštvu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Novom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Sadu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Kragujevcu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Nišu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Prvom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osnovnom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tužilaštvu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Osnovnom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tužilaštvu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Novom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Sadu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Kragujevcu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Nišu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prijavljenih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koruptivna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mogla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preći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područnih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osnovnih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viših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tužilaštva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nadležnost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odeljenja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borbu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prijavljenih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koruptivna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Višem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tužilaštvu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Novom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Sadu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Kragujevcu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Nišu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Prvom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osnovnom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tužilaštvu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Osnovnom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tužilaštvu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Novom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Sadu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Kraljevu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Nišu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novoj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procena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potrebnih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odgovarajući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obim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njihova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dinamika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godinama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prikazanih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pripremljen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aspekt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obrazloženja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proceni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obima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potrebnih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ljudskih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resursa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formiranja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suzbijanje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neophodno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uvažavanje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određenih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prethodnih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bitnih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popunjenosti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sadašnjih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kadrovskih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kapaciteta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javnotužilačke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povećavanje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aspekt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javnotužilačke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njen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pozitivan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uticaj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kapaciteta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javnotužilačku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bilansne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izdvajanje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postići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jačanje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kapaciteta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tužilaštva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obezbeđivanje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adekvatnih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tužilaštva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forenzike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multidisciplinarne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objedinjuje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angažovanje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forenzičke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Posebno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važan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aspekta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javnotužilačke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segmentu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borbe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raspolaže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tužilaštvo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pribavljene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pričinjene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oduzete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kreće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cifre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107 </w:t>
      </w:r>
      <w:r>
        <w:rPr>
          <w:rFonts w:ascii="Times New Roman" w:hAnsi="Times New Roman"/>
          <w:noProof/>
          <w:sz w:val="24"/>
          <w:szCs w:val="24"/>
          <w:lang w:val="sr-Latn-CS"/>
        </w:rPr>
        <w:t>milijardi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868,9 </w:t>
      </w:r>
      <w:r>
        <w:rPr>
          <w:rFonts w:ascii="Times New Roman" w:hAnsi="Times New Roman"/>
          <w:noProof/>
          <w:sz w:val="24"/>
          <w:szCs w:val="24"/>
          <w:lang w:val="sr-Latn-CS"/>
        </w:rPr>
        <w:t>miliona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€,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tendencijom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povećavanja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bliži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Latn-CS"/>
        </w:rPr>
        <w:t>milijarde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€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Poređenja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blizu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cifre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(107 </w:t>
      </w:r>
      <w:r>
        <w:rPr>
          <w:rFonts w:ascii="Times New Roman" w:hAnsi="Times New Roman"/>
          <w:noProof/>
          <w:sz w:val="24"/>
          <w:szCs w:val="24"/>
          <w:lang w:val="sr-Latn-CS"/>
        </w:rPr>
        <w:t>milijardi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koliko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evidentiran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direktan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javnotužilačke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momentu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), 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subvencije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86 </w:t>
      </w:r>
      <w:r>
        <w:rPr>
          <w:rFonts w:ascii="Times New Roman" w:hAnsi="Times New Roman"/>
          <w:noProof/>
          <w:sz w:val="24"/>
          <w:szCs w:val="24"/>
          <w:lang w:val="sr-Latn-CS"/>
        </w:rPr>
        <w:t>milijardi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(107 </w:t>
      </w:r>
      <w:r>
        <w:rPr>
          <w:rFonts w:ascii="Times New Roman" w:hAnsi="Times New Roman"/>
          <w:noProof/>
          <w:sz w:val="24"/>
          <w:szCs w:val="24"/>
          <w:lang w:val="sr-Latn-CS"/>
        </w:rPr>
        <w:t>milijardi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skoro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3 </w:t>
      </w:r>
      <w:r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( 35 </w:t>
      </w:r>
      <w:r>
        <w:rPr>
          <w:rFonts w:ascii="Times New Roman" w:hAnsi="Times New Roman"/>
          <w:noProof/>
          <w:sz w:val="24"/>
          <w:szCs w:val="24"/>
          <w:lang w:val="sr-Latn-CS"/>
        </w:rPr>
        <w:t>milijardi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PDV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(91 </w:t>
      </w:r>
      <w:r>
        <w:rPr>
          <w:rFonts w:ascii="Times New Roman" w:hAnsi="Times New Roman"/>
          <w:noProof/>
          <w:sz w:val="24"/>
          <w:szCs w:val="24"/>
          <w:lang w:val="sr-Latn-CS"/>
        </w:rPr>
        <w:t>milijarda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skoro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3 </w:t>
      </w:r>
      <w:r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transfera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opštinama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gradovima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(33 </w:t>
      </w:r>
      <w:r>
        <w:rPr>
          <w:rFonts w:ascii="Times New Roman" w:hAnsi="Times New Roman"/>
          <w:noProof/>
          <w:sz w:val="24"/>
          <w:szCs w:val="24"/>
          <w:lang w:val="sr-Latn-CS"/>
        </w:rPr>
        <w:t>milijarde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izdvajanja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dečija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boračko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invalidska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učenički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studentski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izbegla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raseljena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tranzicioni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9 </w:t>
      </w:r>
      <w:r>
        <w:rPr>
          <w:rFonts w:ascii="Times New Roman" w:hAnsi="Times New Roman"/>
          <w:noProof/>
          <w:sz w:val="24"/>
          <w:szCs w:val="24"/>
          <w:lang w:val="sr-Latn-CS"/>
        </w:rPr>
        <w:t>milijardi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Kad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cifre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(107 </w:t>
      </w:r>
      <w:r>
        <w:rPr>
          <w:rFonts w:ascii="Times New Roman" w:hAnsi="Times New Roman"/>
          <w:noProof/>
          <w:sz w:val="24"/>
          <w:szCs w:val="24"/>
          <w:lang w:val="sr-Latn-CS"/>
        </w:rPr>
        <w:t>milijardi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izdataka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sudstvo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primer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cifra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5 </w:t>
      </w:r>
      <w:r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izdvajanja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sudove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19 </w:t>
      </w:r>
      <w:r>
        <w:rPr>
          <w:rFonts w:ascii="Times New Roman" w:hAnsi="Times New Roman"/>
          <w:noProof/>
          <w:sz w:val="24"/>
          <w:szCs w:val="24"/>
          <w:lang w:val="sr-Latn-CS"/>
        </w:rPr>
        <w:t>milijardi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(107 </w:t>
      </w:r>
      <w:r>
        <w:rPr>
          <w:rFonts w:ascii="Times New Roman" w:hAnsi="Times New Roman"/>
          <w:noProof/>
          <w:sz w:val="24"/>
          <w:szCs w:val="24"/>
          <w:lang w:val="sr-Latn-CS"/>
        </w:rPr>
        <w:t>milijardi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27 </w:t>
      </w:r>
      <w:r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izdataka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tužilaštva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4 </w:t>
      </w:r>
      <w:r>
        <w:rPr>
          <w:rFonts w:ascii="Times New Roman" w:hAnsi="Times New Roman"/>
          <w:noProof/>
          <w:sz w:val="24"/>
          <w:szCs w:val="24"/>
          <w:lang w:val="sr-Latn-CS"/>
        </w:rPr>
        <w:t>milijarde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cifru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pribavljene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pričinjene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oduzete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( 107 </w:t>
      </w:r>
      <w:r>
        <w:rPr>
          <w:rFonts w:ascii="Times New Roman" w:hAnsi="Times New Roman"/>
          <w:noProof/>
          <w:sz w:val="24"/>
          <w:szCs w:val="24"/>
          <w:lang w:val="sr-Latn-CS"/>
        </w:rPr>
        <w:t>milijardi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približno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Latn-CS"/>
        </w:rPr>
        <w:t>milijarde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€), 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tendencijom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povećavanja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izdvajanja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1251F2" w:rsidRPr="00AB2DE5" w:rsidRDefault="001251F2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89.066.164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 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724.115 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>€</w:t>
      </w:r>
      <w:r w:rsidRPr="00AB2DE5">
        <w:rPr>
          <w:rStyle w:val="FootnoteReference"/>
          <w:rFonts w:ascii="Times New Roman" w:hAnsi="Times New Roman"/>
          <w:noProof/>
          <w:sz w:val="24"/>
          <w:szCs w:val="24"/>
          <w:lang w:val="sr-Latn-CS"/>
        </w:rPr>
        <w:footnoteReference w:id="1"/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); </w:t>
      </w:r>
    </w:p>
    <w:p w:rsidR="001251F2" w:rsidRPr="00AB2DE5" w:rsidRDefault="001251F2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2019.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131.801.244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1.071.555 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€),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dodatno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42.735.000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347.440 €);</w:t>
      </w:r>
    </w:p>
    <w:p w:rsidR="001251F2" w:rsidRPr="00AB2DE5" w:rsidRDefault="001251F2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2020.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174.536.324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(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1.418.995 €)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dodatno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42.735.000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347.440 €),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a</w:t>
      </w:r>
    </w:p>
    <w:p w:rsidR="001251F2" w:rsidRPr="00AB2DE5" w:rsidRDefault="001251F2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-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2021.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217.271.404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1.766.434 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€)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dodatno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42.735.000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347.440 €).</w:t>
      </w: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rashoda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iskazanim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612.675.136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4.981.099 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€),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(0,57%)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107 </w:t>
      </w:r>
      <w:r>
        <w:rPr>
          <w:rFonts w:ascii="Times New Roman" w:hAnsi="Times New Roman"/>
          <w:noProof/>
          <w:sz w:val="24"/>
          <w:szCs w:val="24"/>
          <w:lang w:val="sr-Latn-CS"/>
        </w:rPr>
        <w:t>milijardi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868.856.830,32 €)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pribavljene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pričinjene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oduzete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1251F2"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Procena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zamenika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formiranje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dinamika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popunjavanja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projektovana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(22.957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12.779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polovine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55,7% 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procesuiranje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Uvažavajući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bilansni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nemogućnost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finanijska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procenjenim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dinamika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prvenstveno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preraspodelom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postojećeg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zamenika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zamenika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tužioca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pripadajućeg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2,5 </w:t>
      </w:r>
      <w:r>
        <w:rPr>
          <w:rFonts w:ascii="Times New Roman" w:hAnsi="Times New Roman"/>
          <w:noProof/>
          <w:sz w:val="24"/>
          <w:szCs w:val="24"/>
          <w:lang w:val="sr-Latn-CS"/>
        </w:rPr>
        <w:t>zamenika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tužioca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saradnik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 </w:t>
      </w:r>
      <w:r>
        <w:rPr>
          <w:rFonts w:ascii="Times New Roman" w:hAnsi="Times New Roman"/>
          <w:noProof/>
          <w:sz w:val="24"/>
          <w:szCs w:val="24"/>
          <w:lang w:val="sr-Latn-CS"/>
        </w:rPr>
        <w:t>zamenika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zapisničar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1251F2" w:rsidRPr="00AB2DE5" w:rsidRDefault="001251F2" w:rsidP="008F110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Procenjene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teritorijalno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prikazane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850"/>
        <w:gridCol w:w="993"/>
        <w:gridCol w:w="850"/>
        <w:gridCol w:w="851"/>
        <w:gridCol w:w="951"/>
      </w:tblGrid>
      <w:tr w:rsidR="001251F2" w:rsidRPr="00AB2DE5" w:rsidTr="00495CC9">
        <w:trPr>
          <w:trHeight w:val="992"/>
        </w:trPr>
        <w:tc>
          <w:tcPr>
            <w:tcW w:w="675" w:type="dxa"/>
            <w:vMerge w:val="restart"/>
            <w:vAlign w:val="center"/>
          </w:tcPr>
          <w:p w:rsidR="001251F2" w:rsidRPr="00AB2DE5" w:rsidRDefault="00AB2DE5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  <w:p w:rsidR="001251F2" w:rsidRPr="00AB2DE5" w:rsidRDefault="00AB2DE5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:rsidR="001251F2" w:rsidRPr="00AB2DE5" w:rsidRDefault="00AB2DE5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apelacije</w:t>
            </w:r>
          </w:p>
        </w:tc>
        <w:tc>
          <w:tcPr>
            <w:tcW w:w="4495" w:type="dxa"/>
            <w:gridSpan w:val="5"/>
            <w:vAlign w:val="center"/>
          </w:tcPr>
          <w:p w:rsidR="001251F2" w:rsidRPr="00AB2DE5" w:rsidRDefault="00AB2DE5" w:rsidP="008D2CE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Dinamika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potrebnog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osoblja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periodu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2018-2021.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godina</w:t>
            </w:r>
          </w:p>
        </w:tc>
      </w:tr>
      <w:tr w:rsidR="001251F2" w:rsidRPr="00AB2DE5" w:rsidTr="00495CC9">
        <w:tc>
          <w:tcPr>
            <w:tcW w:w="675" w:type="dxa"/>
            <w:vMerge/>
          </w:tcPr>
          <w:p w:rsidR="001251F2" w:rsidRPr="00AB2DE5" w:rsidRDefault="001251F2" w:rsidP="00495CC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3686" w:type="dxa"/>
            <w:vMerge/>
          </w:tcPr>
          <w:p w:rsidR="001251F2" w:rsidRPr="00AB2DE5" w:rsidRDefault="001251F2" w:rsidP="00495CC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2018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2019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2020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2021</w:t>
            </w:r>
          </w:p>
        </w:tc>
        <w:tc>
          <w:tcPr>
            <w:tcW w:w="951" w:type="dxa"/>
          </w:tcPr>
          <w:p w:rsidR="001251F2" w:rsidRPr="00AB2DE5" w:rsidRDefault="00AB2DE5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ukupno</w:t>
            </w:r>
          </w:p>
        </w:tc>
      </w:tr>
      <w:tr w:rsidR="001251F2" w:rsidRPr="00AB2DE5" w:rsidTr="00495CC9">
        <w:trPr>
          <w:trHeight w:val="320"/>
        </w:trPr>
        <w:tc>
          <w:tcPr>
            <w:tcW w:w="675" w:type="dxa"/>
            <w:vAlign w:val="center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686" w:type="dxa"/>
            <w:vAlign w:val="center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50" w:type="dxa"/>
            <w:vAlign w:val="center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993" w:type="dxa"/>
            <w:vAlign w:val="center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50" w:type="dxa"/>
            <w:vAlign w:val="center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51" w:type="dxa"/>
            <w:vAlign w:val="center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951" w:type="dxa"/>
            <w:vAlign w:val="center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Beograd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ukupno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od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čega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49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79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1.1.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Zamenici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javnog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tužioca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1.2.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Tužilački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pomoćnici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16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1.3.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Zapisničari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22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Novi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Sad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ukupno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od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čega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59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2.1.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Zamenici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javnog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tužioca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29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2.2.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Tužilački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pomoćnici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2.3.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Zapisničari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16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Kraljevo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ukupno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od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čega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44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3.1.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Zamenici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javnog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tužioca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21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3.2.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Tužilački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pomoćnici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3.3.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Zapisničari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Niš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ukupno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od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čega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44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4.1.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Zamenici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javnog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tužioca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21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4.2.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Tužilački</w:t>
            </w:r>
            <w:r w:rsidR="001251F2"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pomoćnici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4.3.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Zapisničari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lastRenderedPageBreak/>
              <w:t>5.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Ostali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službenici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ukupno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od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čega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17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3686" w:type="dxa"/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Forenzičari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r-Latn-CS"/>
              </w:rPr>
              <w:t>5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3686" w:type="dxa"/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Službenici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br/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pisarnice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sr-Latn-CS"/>
              </w:rPr>
              <w:t>12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Zamenici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javnog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tužioca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ukupno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75</w:t>
            </w:r>
            <w:r w:rsidRPr="00AB2DE5">
              <w:rPr>
                <w:rStyle w:val="FootnoteReference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footnoteReference w:id="2"/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36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Tužilački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pomoćnici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ukupno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48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Zapisničari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ukupno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67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Ukupno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Zamenici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javnog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tužioca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75</w:t>
            </w:r>
            <w:r w:rsidRPr="00AB2DE5">
              <w:rPr>
                <w:rStyle w:val="FootnoteReference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footnoteReference w:id="3"/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36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Tužilački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pomoćnici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48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Zapisničari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67</w:t>
            </w:r>
          </w:p>
        </w:tc>
      </w:tr>
      <w:tr w:rsidR="001251F2" w:rsidRPr="00AB2DE5" w:rsidTr="00495CC9"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Forenzičari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  <w:t>5</w:t>
            </w:r>
          </w:p>
        </w:tc>
      </w:tr>
      <w:tr w:rsidR="001251F2" w:rsidRPr="00AB2DE5" w:rsidTr="00495CC9">
        <w:trPr>
          <w:trHeight w:val="597"/>
        </w:trPr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Službenici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br/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pisarnice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  <w:t>12</w:t>
            </w:r>
          </w:p>
        </w:tc>
      </w:tr>
      <w:tr w:rsidR="001251F2" w:rsidRPr="00AB2DE5" w:rsidTr="00495CC9">
        <w:trPr>
          <w:trHeight w:val="597"/>
        </w:trPr>
        <w:tc>
          <w:tcPr>
            <w:tcW w:w="675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3686" w:type="dxa"/>
          </w:tcPr>
          <w:p w:rsidR="001251F2" w:rsidRPr="00AB2DE5" w:rsidRDefault="00AB2DE5" w:rsidP="00495CC9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Ukupno</w:t>
            </w:r>
            <w:r w:rsidR="001251F2"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( 1+2+3+4+5)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87</w:t>
            </w:r>
          </w:p>
        </w:tc>
        <w:tc>
          <w:tcPr>
            <w:tcW w:w="993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850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8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951" w:type="dxa"/>
          </w:tcPr>
          <w:p w:rsidR="001251F2" w:rsidRPr="00AB2DE5" w:rsidRDefault="001251F2" w:rsidP="00495CC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AB2DE5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168</w:t>
            </w:r>
          </w:p>
        </w:tc>
      </w:tr>
    </w:tbl>
    <w:p w:rsidR="001251F2" w:rsidRPr="00AB2DE5" w:rsidRDefault="001251F2" w:rsidP="008F110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počinje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( 1. </w:t>
      </w:r>
      <w:r>
        <w:rPr>
          <w:rFonts w:ascii="Times New Roman" w:hAnsi="Times New Roman"/>
          <w:noProof/>
          <w:sz w:val="24"/>
          <w:szCs w:val="24"/>
          <w:lang w:val="sr-Latn-CS"/>
        </w:rPr>
        <w:t>marta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procenjeno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prvoj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preraspodelu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svega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zamenika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 75 </w:t>
      </w:r>
      <w:r>
        <w:rPr>
          <w:rFonts w:ascii="Times New Roman" w:hAnsi="Times New Roman"/>
          <w:noProof/>
          <w:sz w:val="24"/>
          <w:szCs w:val="24"/>
          <w:lang w:val="sr-Latn-CS"/>
        </w:rPr>
        <w:t>zamenika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tužioca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25,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20, </w:t>
      </w:r>
      <w:r>
        <w:rPr>
          <w:rFonts w:ascii="Times New Roman" w:hAnsi="Times New Roman"/>
          <w:noProof/>
          <w:sz w:val="24"/>
          <w:szCs w:val="24"/>
          <w:lang w:val="sr-Latn-CS"/>
        </w:rPr>
        <w:t>Kraljevo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Niš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15),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zamenika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tužioca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Međutim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zapošljavanje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tužilačkih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40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zapisničara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5 </w:t>
      </w:r>
      <w:r>
        <w:rPr>
          <w:rFonts w:ascii="Times New Roman" w:hAnsi="Times New Roman"/>
          <w:noProof/>
          <w:sz w:val="24"/>
          <w:szCs w:val="24"/>
          <w:lang w:val="sr-Latn-CS"/>
        </w:rPr>
        <w:t>forenzičara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12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pisarnice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(4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8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spremom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87 </w:t>
      </w:r>
      <w:r>
        <w:rPr>
          <w:rFonts w:ascii="Times New Roman" w:hAnsi="Times New Roman"/>
          <w:noProof/>
          <w:sz w:val="24"/>
          <w:szCs w:val="24"/>
          <w:lang w:val="sr-Latn-CS"/>
        </w:rPr>
        <w:t>ljudi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(2019. 2020.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zapošljavanje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: 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12 </w:t>
      </w:r>
      <w:r>
        <w:rPr>
          <w:rFonts w:ascii="Times New Roman" w:hAnsi="Times New Roman"/>
          <w:noProof/>
          <w:sz w:val="24"/>
          <w:szCs w:val="24"/>
          <w:lang w:val="sr-Latn-CS"/>
        </w:rPr>
        <w:t>zamenika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tužioca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5,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/>
          <w:noProof/>
          <w:sz w:val="24"/>
          <w:szCs w:val="24"/>
          <w:lang w:val="sr-Latn-CS"/>
        </w:rPr>
        <w:t>Kraljevo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Niš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2), 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6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tužilačkih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9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zapisničara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36 </w:t>
      </w:r>
      <w:r>
        <w:rPr>
          <w:rFonts w:ascii="Times New Roman" w:hAnsi="Times New Roman"/>
          <w:noProof/>
          <w:sz w:val="24"/>
          <w:szCs w:val="24"/>
          <w:lang w:val="sr-Latn-CS"/>
        </w:rPr>
        <w:t>zamenika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48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tužilačkih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67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zapisničara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168 </w:t>
      </w:r>
      <w:r>
        <w:rPr>
          <w:rFonts w:ascii="Times New Roman" w:hAnsi="Times New Roman"/>
          <w:noProof/>
          <w:sz w:val="24"/>
          <w:szCs w:val="24"/>
          <w:lang w:val="sr-Latn-CS"/>
        </w:rPr>
        <w:t>ljudi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proračunima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koeficijentima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bruto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budžetskim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popunjenim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PFE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obrascima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proračunima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izgleda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1251F2" w:rsidRPr="00AB2DE5" w:rsidRDefault="001251F2" w:rsidP="008F110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251F2" w:rsidRPr="00AB2DE5" w:rsidRDefault="001251F2" w:rsidP="008F110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251F2" w:rsidRPr="00AB2DE5" w:rsidRDefault="001251F2" w:rsidP="008F110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tbl>
      <w:tblPr>
        <w:tblW w:w="8900" w:type="dxa"/>
        <w:tblInd w:w="93" w:type="dxa"/>
        <w:tblLook w:val="00A0" w:firstRow="1" w:lastRow="0" w:firstColumn="1" w:lastColumn="0" w:noHBand="0" w:noVBand="0"/>
      </w:tblPr>
      <w:tblGrid>
        <w:gridCol w:w="621"/>
        <w:gridCol w:w="1250"/>
        <w:gridCol w:w="1453"/>
        <w:gridCol w:w="1476"/>
        <w:gridCol w:w="1381"/>
        <w:gridCol w:w="1349"/>
        <w:gridCol w:w="1370"/>
      </w:tblGrid>
      <w:tr w:rsidR="001251F2" w:rsidRPr="00AB2DE5" w:rsidTr="00495CC9">
        <w:trPr>
          <w:trHeight w:val="315"/>
        </w:trPr>
        <w:tc>
          <w:tcPr>
            <w:tcW w:w="89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251F2" w:rsidRPr="00AB2DE5" w:rsidRDefault="001251F2" w:rsidP="00495C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lang w:val="sr-Latn-CS"/>
              </w:rPr>
              <w:t xml:space="preserve"> </w:t>
            </w:r>
            <w:r w:rsidR="00AB2DE5">
              <w:rPr>
                <w:rFonts w:ascii="Times New Roman" w:hAnsi="Times New Roman"/>
                <w:b/>
                <w:bCs/>
                <w:noProof/>
                <w:color w:val="000000"/>
                <w:lang w:val="sr-Latn-CS"/>
              </w:rPr>
              <w:t>U</w:t>
            </w: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lang w:val="sr-Latn-CS"/>
              </w:rPr>
              <w:t xml:space="preserve"> </w:t>
            </w:r>
            <w:r w:rsidR="00AB2DE5">
              <w:rPr>
                <w:rFonts w:ascii="Times New Roman" w:hAnsi="Times New Roman"/>
                <w:b/>
                <w:bCs/>
                <w:noProof/>
                <w:color w:val="000000"/>
                <w:lang w:val="sr-Latn-CS"/>
              </w:rPr>
              <w:t>dinarima</w:t>
            </w:r>
          </w:p>
        </w:tc>
      </w:tr>
      <w:tr w:rsidR="001251F2" w:rsidRPr="00AB2DE5" w:rsidTr="00495CC9">
        <w:trPr>
          <w:trHeight w:val="7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51F2" w:rsidRPr="00AB2DE5" w:rsidRDefault="00AB2DE5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  <w:t>R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  <w:t>.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  <w:br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  <w:t>br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Vrsta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ljud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br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skih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resursa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/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br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iznosi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u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din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2021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251F2" w:rsidRPr="00AB2DE5" w:rsidRDefault="00AB2DE5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ukupno</w:t>
            </w:r>
          </w:p>
        </w:tc>
      </w:tr>
      <w:tr w:rsidR="001251F2" w:rsidRPr="00AB2DE5" w:rsidTr="00495CC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7</w:t>
            </w:r>
          </w:p>
        </w:tc>
      </w:tr>
      <w:tr w:rsidR="001251F2" w:rsidRPr="00AB2DE5" w:rsidTr="00495CC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LJ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.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resursi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</w:tr>
      <w:tr w:rsidR="001251F2" w:rsidRPr="00AB2DE5" w:rsidTr="00495CC9">
        <w:trPr>
          <w:trHeight w:val="7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1.1.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Zamenici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br/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javnog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br/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tužioca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12+12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12+12+12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36</w:t>
            </w:r>
          </w:p>
        </w:tc>
      </w:tr>
      <w:tr w:rsidR="001251F2" w:rsidRPr="00AB2DE5" w:rsidTr="00495CC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Iznos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32.258.000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64.516.000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96.774.000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193.548.000</w:t>
            </w:r>
          </w:p>
        </w:tc>
      </w:tr>
      <w:tr w:rsidR="001251F2" w:rsidRPr="00AB2DE5" w:rsidTr="00495CC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1.2.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Tužilački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br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pomoćnici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30+6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30+6+6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30+6+6+6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48</w:t>
            </w:r>
          </w:p>
        </w:tc>
      </w:tr>
      <w:tr w:rsidR="001251F2" w:rsidRPr="00AB2DE5" w:rsidTr="00495CC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Iznos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  32.933.520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  39.520.224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46.106.928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52.693.632   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171.254.304      </w:t>
            </w:r>
          </w:p>
        </w:tc>
      </w:tr>
      <w:tr w:rsidR="001251F2" w:rsidRPr="00AB2DE5" w:rsidTr="00495CC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1.3.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Zapisničari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40+9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40+9+9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40+9+9+9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67</w:t>
            </w:r>
          </w:p>
        </w:tc>
      </w:tr>
      <w:tr w:rsidR="001251F2" w:rsidRPr="00AB2DE5" w:rsidTr="00495CC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Iznos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  17.290.560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  21.180.936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25.071.312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28.961.688   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92.504.496      </w:t>
            </w:r>
          </w:p>
        </w:tc>
      </w:tr>
      <w:tr w:rsidR="001251F2" w:rsidRPr="00AB2DE5" w:rsidTr="00495CC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1.4.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Ostali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br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službenici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</w:tr>
      <w:tr w:rsidR="001251F2" w:rsidRPr="00AB2DE5" w:rsidTr="00495CC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14.1.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Forenzičari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5</w:t>
            </w:r>
          </w:p>
        </w:tc>
      </w:tr>
      <w:tr w:rsidR="001251F2" w:rsidRPr="00AB2DE5" w:rsidTr="00495CC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Iznos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    9.051.900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    9.051.900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  9.051.900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 9.051.900   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36.207.600      </w:t>
            </w:r>
          </w:p>
        </w:tc>
      </w:tr>
      <w:tr w:rsidR="001251F2" w:rsidRPr="00AB2DE5" w:rsidTr="00495CC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1.4.2.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Službenici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br/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pisarnice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12</w:t>
            </w:r>
          </w:p>
        </w:tc>
      </w:tr>
      <w:tr w:rsidR="001251F2" w:rsidRPr="00AB2DE5" w:rsidTr="00495CC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Iznos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    5.885.184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    5.885.184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  5.885.184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 5.885.184   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23.540.736      </w:t>
            </w:r>
          </w:p>
        </w:tc>
      </w:tr>
      <w:tr w:rsidR="001251F2" w:rsidRPr="00AB2DE5" w:rsidTr="00495CC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Svega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 xml:space="preserve"> 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</w:tr>
      <w:tr w:rsidR="001251F2" w:rsidRPr="00AB2DE5" w:rsidTr="00495CC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87+27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87+27+27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87+27+27+27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168</w:t>
            </w:r>
          </w:p>
        </w:tc>
      </w:tr>
      <w:tr w:rsidR="001251F2" w:rsidRPr="00AB2DE5" w:rsidTr="00495CC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Iznos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  65.161.164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107.896.244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150.631.324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193.366.404   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517.055.136      </w:t>
            </w:r>
          </w:p>
        </w:tc>
      </w:tr>
      <w:tr w:rsidR="001251F2" w:rsidRPr="00AB2DE5" w:rsidTr="00495CC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Ostali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br/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</w:tr>
      <w:tr w:rsidR="001251F2" w:rsidRPr="00AB2DE5" w:rsidTr="00495CC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2.1.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Zakupnina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  11.905.000  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  11.905.000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11.905.000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11.905.000     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47.620.000      </w:t>
            </w:r>
          </w:p>
        </w:tc>
      </w:tr>
      <w:tr w:rsidR="001251F2" w:rsidRPr="00AB2DE5" w:rsidTr="00495CC9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2.2.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Tekući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rashodi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  12.000.000  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  12.000.000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12.000.000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12.000.000     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48.000.000      </w:t>
            </w:r>
          </w:p>
        </w:tc>
      </w:tr>
      <w:tr w:rsidR="001251F2" w:rsidRPr="00AB2DE5" w:rsidTr="00495CC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Svega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 xml:space="preserve"> 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  23.905.000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  23.905.000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23.905.000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23.905.000   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95.620.000      </w:t>
            </w:r>
          </w:p>
        </w:tc>
      </w:tr>
      <w:tr w:rsidR="001251F2" w:rsidRPr="00AB2DE5" w:rsidTr="00495CC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sr-Latn-CS"/>
              </w:rPr>
              <w:t>5.7.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51F2" w:rsidRPr="00AB2DE5" w:rsidRDefault="00AB2DE5" w:rsidP="00495CC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>Ukupno</w:t>
            </w:r>
            <w:r w:rsidR="001251F2" w:rsidRPr="00AB2DE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sr-Latn-CS"/>
              </w:rPr>
              <w:t xml:space="preserve"> (1+2)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  89.066.164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131.801.244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174.536.324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217.271.404   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1F2" w:rsidRPr="00AB2DE5" w:rsidRDefault="001251F2" w:rsidP="00495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AB2DE5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612.675.136      </w:t>
            </w:r>
          </w:p>
        </w:tc>
      </w:tr>
    </w:tbl>
    <w:p w:rsidR="001251F2" w:rsidRPr="00AB2DE5" w:rsidRDefault="001251F2" w:rsidP="008F110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iCs/>
          <w:noProof/>
          <w:sz w:val="24"/>
          <w:szCs w:val="24"/>
          <w:lang w:val="sr-Latn-CS"/>
        </w:rPr>
        <w:t>Shodno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forenzike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5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forenzičara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2018.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visoka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formiranje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pisarnica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4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pisarnici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3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srednjom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spremom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1 </w:t>
      </w:r>
      <w:r>
        <w:rPr>
          <w:rFonts w:ascii="Times New Roman" w:hAnsi="Times New Roman"/>
          <w:noProof/>
          <w:sz w:val="24"/>
          <w:szCs w:val="24"/>
          <w:lang w:val="sr-Latn-CS"/>
        </w:rPr>
        <w:t>rukovodilac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pisarnice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viša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Kraljevu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Nišu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spremom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školskom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spremom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12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pisarnice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proračunima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koeficijentima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školske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spreme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procenjeno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1251F2" w:rsidRPr="00AB2DE5" w:rsidRDefault="001251F2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251F2" w:rsidRPr="00AB2DE5" w:rsidRDefault="001251F2" w:rsidP="008F1106">
      <w:pPr>
        <w:pStyle w:val="NoSpacing"/>
        <w:ind w:firstLine="720"/>
        <w:jc w:val="both"/>
        <w:rPr>
          <w:rFonts w:ascii="Times New Roman" w:hAnsi="Times New Roman"/>
          <w:iCs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raspoloživog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posebnih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dodatnih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prerasporediti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zaposleni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postupanje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16.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okviru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ministarstva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nadležnog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unutrašnje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poslove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obrazuje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organizaciona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jedinica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nadležna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suzbijanje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korupcije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radi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obavljanja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policijskih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poslova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vezi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sa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krivičnim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delima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iz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člana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13.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Zakona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(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četiri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policijska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odeljenja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sa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sedištima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koja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su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identična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sedištima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viših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javnih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tužilaštava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okviru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kojih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su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obrazuju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posebna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odeljenja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>);</w:t>
      </w:r>
    </w:p>
    <w:p w:rsidR="001251F2" w:rsidRPr="00AB2DE5" w:rsidRDefault="001251F2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- 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da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iCs/>
          <w:noProof/>
          <w:sz w:val="24"/>
          <w:szCs w:val="24"/>
          <w:lang w:val="sr-Latn-CS"/>
        </w:rPr>
        <w:t>se</w:t>
      </w:r>
      <w:r w:rsidRPr="00AB2DE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raspoloživog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posebnih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dodatnih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prerasporediti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zaposleni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predviđenu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novinu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uvođenja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službenika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vezu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udarnih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grupa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procenjuje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trebalo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još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1.000.000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mesečno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( 12.000.000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počev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tužilaca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tužilaštava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smeštaj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osoblja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1251F2" w:rsidRPr="00AB2DE5" w:rsidRDefault="001251F2" w:rsidP="008F110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-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rentiranje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poslovnog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prostora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završetka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rekonstrukcije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zgrade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Palata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pravde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( 2019.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);  </w:t>
      </w:r>
    </w:p>
    <w:p w:rsidR="001251F2" w:rsidRPr="00AB2DE5" w:rsidRDefault="001251F2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Novom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Sadu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rentiranje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poslovnog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prostora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završetka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izgradnje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palate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pravde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počinje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251F2" w:rsidRPr="00AB2DE5" w:rsidRDefault="001251F2" w:rsidP="008F110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-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Kraljevu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rentiranje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poslovnog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prostora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konačnog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1251F2" w:rsidRPr="00AB2DE5" w:rsidRDefault="001251F2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Nišu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realokacija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kapaciteta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preraspodela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postojećeg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poslovnog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prostora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zgradi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Apelacionog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Ukupni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zakupnine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lokacije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procenjeni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251F2"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11.905.000  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godišnje</w:t>
      </w:r>
      <w:r w:rsidR="001251F2"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.</w:t>
      </w:r>
    </w:p>
    <w:p w:rsidR="001251F2" w:rsidRPr="00AB2DE5" w:rsidRDefault="001251F2" w:rsidP="008F110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komunikacionog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pripadajućih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rešavaće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sklopu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proračuna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centralnog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softverskog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tužilaštva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obuka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edukacija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izvršiće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Pravosudne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akademije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donatorskih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1251F2" w:rsidRPr="00AB2DE5" w:rsidRDefault="001251F2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izneto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godinama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1251F2" w:rsidRPr="00AB2DE5" w:rsidRDefault="001251F2" w:rsidP="008F1106">
      <w:pPr>
        <w:pStyle w:val="NoSpacing"/>
        <w:ind w:firstLine="720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</w:pP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budžetska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89.066.164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65.161.164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ostale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rashode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23.905.000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zakupnine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11.905.000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druge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tekuće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rashode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rad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ovih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organa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12.000.000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;</w:t>
      </w:r>
    </w:p>
    <w:p w:rsidR="001251F2" w:rsidRPr="00AB2DE5" w:rsidRDefault="001251F2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-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2019.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budžetska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131.801.244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prethodnoj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107.896.244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ostale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rashode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23.905.000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zakupnine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11.905.000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druge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tekuće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rashode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rad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ovih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organa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12.000.000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ili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42.735.000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347.440 €)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više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odnosu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prethodnu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godinu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1251F2" w:rsidRPr="00AB2DE5" w:rsidRDefault="001251F2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2020.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budžetska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174.536.324 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prethodne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150.631.324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ostale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rashode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23.905.000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zakupnine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11.905.000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druge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tekuće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rashode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rad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ovih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organa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12.000.000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ili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42.735.000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347.440 €)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više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odnosu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prethodnu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godinu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</w:p>
    <w:p w:rsidR="001251F2" w:rsidRPr="00AB2DE5" w:rsidRDefault="001251F2" w:rsidP="008F1106">
      <w:pPr>
        <w:pStyle w:val="NoSpacing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budžetska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217.271.404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prethodne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193.366.404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ostale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rashode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23.905.000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zakupnine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11.905.000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i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druge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tekuće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rashode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ovih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organa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12.000.000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ili</w:t>
      </w:r>
      <w:r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42.735.000 </w:t>
      </w:r>
      <w:r w:rsidR="00AB2DE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347.440 €)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više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odnosu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prethodnu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godinu</w:t>
      </w:r>
      <w:r w:rsidRPr="00AB2DE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1251F2" w:rsidRPr="00AB2DE5" w:rsidRDefault="001251F2" w:rsidP="008F110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251F2" w:rsidRPr="00AB2DE5" w:rsidRDefault="00AB2DE5" w:rsidP="008F1106">
      <w:pPr>
        <w:pStyle w:val="NoSpacing"/>
        <w:ind w:firstLine="720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proizilazi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2018, 2019, 2020.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251F2"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612.675.136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251F2"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517.055.136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251F2"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95.620.000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čemu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zakupnine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251F2"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47.620.000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i</w:t>
      </w:r>
      <w:r w:rsidR="001251F2"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48.000.000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dinara</w:t>
      </w:r>
      <w:r w:rsidR="001251F2"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druge</w:t>
      </w:r>
      <w:r w:rsidR="001251F2"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tekuće</w:t>
      </w:r>
      <w:r w:rsidR="001251F2"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rashode</w:t>
      </w:r>
      <w:r w:rsidR="001251F2"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za</w:t>
      </w:r>
      <w:r w:rsidR="001251F2"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rad</w:t>
      </w:r>
      <w:r w:rsidR="001251F2"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ovih</w:t>
      </w:r>
      <w:r w:rsidR="001251F2"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organa</w:t>
      </w:r>
      <w:r w:rsidR="001251F2" w:rsidRPr="00AB2DE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. </w:t>
      </w:r>
    </w:p>
    <w:p w:rsidR="001251F2" w:rsidRPr="00AB2DE5" w:rsidRDefault="001251F2" w:rsidP="008F1106">
      <w:pPr>
        <w:pStyle w:val="NoSpacing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</w:p>
    <w:p w:rsidR="001251F2" w:rsidRPr="00AB2DE5" w:rsidRDefault="001251F2" w:rsidP="008F1106">
      <w:pPr>
        <w:pStyle w:val="NoSpacing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</w:p>
    <w:p w:rsidR="001251F2" w:rsidRPr="00AB2DE5" w:rsidRDefault="001251F2" w:rsidP="0065205B">
      <w:pPr>
        <w:pStyle w:val="NoSpacing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V.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RAZLOZI</w:t>
      </w: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PO</w:t>
      </w: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HITNOM</w:t>
      </w:r>
      <w:r w:rsidRPr="00AB2DE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AB2DE5">
        <w:rPr>
          <w:rFonts w:ascii="Times New Roman" w:hAnsi="Times New Roman"/>
          <w:b/>
          <w:noProof/>
          <w:sz w:val="24"/>
          <w:szCs w:val="24"/>
          <w:lang w:val="sr-Latn-CS"/>
        </w:rPr>
        <w:t>POSTUPKU</w:t>
      </w:r>
    </w:p>
    <w:p w:rsidR="001251F2" w:rsidRPr="00AB2DE5" w:rsidRDefault="001251F2" w:rsidP="0065205B">
      <w:pPr>
        <w:pStyle w:val="NoSpacing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251F2" w:rsidRPr="00AB2DE5" w:rsidRDefault="00AB2DE5" w:rsidP="0065205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donese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preuzetih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procesu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pridruživanja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Evropskoj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uniji</w:t>
      </w:r>
      <w:r w:rsidR="001251F2" w:rsidRPr="00AB2DE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sectPr w:rsidR="001251F2" w:rsidRPr="00AB2DE5" w:rsidSect="00E11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0C" w:rsidRDefault="00276F0C" w:rsidP="00B209D0">
      <w:pPr>
        <w:spacing w:after="0" w:line="240" w:lineRule="auto"/>
      </w:pPr>
      <w:r>
        <w:separator/>
      </w:r>
    </w:p>
  </w:endnote>
  <w:endnote w:type="continuationSeparator" w:id="0">
    <w:p w:rsidR="00276F0C" w:rsidRDefault="00276F0C" w:rsidP="00B2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E5" w:rsidRDefault="00AB2D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F2" w:rsidRDefault="001251F2">
    <w:pPr>
      <w:pStyle w:val="Footer"/>
      <w:jc w:val="right"/>
    </w:pPr>
  </w:p>
  <w:p w:rsidR="001251F2" w:rsidRDefault="001251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E5" w:rsidRDefault="00AB2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0C" w:rsidRDefault="00276F0C" w:rsidP="00B209D0">
      <w:pPr>
        <w:spacing w:after="0" w:line="240" w:lineRule="auto"/>
      </w:pPr>
      <w:r>
        <w:separator/>
      </w:r>
    </w:p>
  </w:footnote>
  <w:footnote w:type="continuationSeparator" w:id="0">
    <w:p w:rsidR="00276F0C" w:rsidRDefault="00276F0C" w:rsidP="00B209D0">
      <w:pPr>
        <w:spacing w:after="0" w:line="240" w:lineRule="auto"/>
      </w:pPr>
      <w:r>
        <w:continuationSeparator/>
      </w:r>
    </w:p>
  </w:footnote>
  <w:footnote w:id="1">
    <w:p w:rsidR="001251F2" w:rsidRDefault="001251F2" w:rsidP="008F1106">
      <w:pPr>
        <w:pStyle w:val="FootnoteText"/>
      </w:pPr>
      <w:r w:rsidRPr="0062167D">
        <w:rPr>
          <w:rStyle w:val="FootnoteReference"/>
          <w:rFonts w:ascii="Times New Roman" w:hAnsi="Times New Roman"/>
        </w:rPr>
        <w:footnoteRef/>
      </w:r>
      <w:r w:rsidRPr="0062167D">
        <w:rPr>
          <w:rFonts w:ascii="Times New Roman" w:hAnsi="Times New Roman"/>
        </w:rPr>
        <w:t xml:space="preserve"> 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kurs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za</w:t>
      </w:r>
      <w:r w:rsidRPr="00AB2DE5">
        <w:rPr>
          <w:rFonts w:ascii="Times New Roman" w:hAnsi="Times New Roman"/>
          <w:noProof/>
          <w:lang w:val="sr-Latn-CS"/>
        </w:rPr>
        <w:t xml:space="preserve"> 1€=123 </w:t>
      </w:r>
      <w:r w:rsidR="00AB2DE5">
        <w:rPr>
          <w:rFonts w:ascii="Times New Roman" w:hAnsi="Times New Roman"/>
          <w:noProof/>
          <w:lang w:val="sr-Latn-CS"/>
        </w:rPr>
        <w:t>RS</w:t>
      </w:r>
      <w:r w:rsidR="00AB2DE5">
        <w:rPr>
          <w:rFonts w:ascii="Times New Roman" w:hAnsi="Times New Roman"/>
          <w:lang w:val="sr-Latn-CS"/>
        </w:rPr>
        <w:t>D</w:t>
      </w:r>
    </w:p>
  </w:footnote>
  <w:footnote w:id="2">
    <w:p w:rsidR="001251F2" w:rsidRPr="00AB2DE5" w:rsidRDefault="001251F2" w:rsidP="008F1106">
      <w:pPr>
        <w:pStyle w:val="FootnoteText"/>
        <w:rPr>
          <w:rFonts w:ascii="Times New Roman" w:hAnsi="Times New Roman"/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 w:rsidRPr="00AB2DE5">
        <w:rPr>
          <w:rStyle w:val="FootnoteReference"/>
          <w:rFonts w:ascii="Times New Roman" w:hAnsi="Times New Roman"/>
          <w:noProof/>
          <w:lang w:val="sr-Latn-CS"/>
        </w:rPr>
        <w:footnoteRef/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Ovaj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broj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zamenika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javnog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tužioca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se</w:t>
      </w:r>
      <w:r w:rsidRPr="00AB2DE5">
        <w:rPr>
          <w:rFonts w:ascii="Times New Roman" w:hAnsi="Times New Roman"/>
          <w:noProof/>
          <w:lang w:val="sr-Latn-CS"/>
        </w:rPr>
        <w:t xml:space="preserve">  </w:t>
      </w:r>
      <w:r w:rsidR="00AB2DE5">
        <w:rPr>
          <w:rFonts w:ascii="Times New Roman" w:hAnsi="Times New Roman"/>
          <w:noProof/>
          <w:lang w:val="sr-Latn-CS"/>
        </w:rPr>
        <w:t>u</w:t>
      </w:r>
      <w:r w:rsidRPr="00AB2DE5">
        <w:rPr>
          <w:rFonts w:ascii="Times New Roman" w:hAnsi="Times New Roman"/>
          <w:noProof/>
          <w:lang w:val="sr-Latn-CS"/>
        </w:rPr>
        <w:t xml:space="preserve"> 2018. </w:t>
      </w:r>
      <w:r w:rsidR="00AB2DE5">
        <w:rPr>
          <w:rFonts w:ascii="Times New Roman" w:hAnsi="Times New Roman"/>
          <w:noProof/>
          <w:lang w:val="sr-Latn-CS"/>
        </w:rPr>
        <w:t>godini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obezbeđuje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preraspodelom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postojećeg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broja</w:t>
      </w:r>
      <w:r w:rsidRPr="00AB2DE5">
        <w:rPr>
          <w:rFonts w:ascii="Times New Roman" w:hAnsi="Times New Roman"/>
          <w:noProof/>
          <w:lang w:val="sr-Latn-CS"/>
        </w:rPr>
        <w:t xml:space="preserve">, </w:t>
      </w:r>
      <w:r w:rsidR="00AB2DE5">
        <w:rPr>
          <w:rFonts w:ascii="Times New Roman" w:hAnsi="Times New Roman"/>
          <w:noProof/>
          <w:lang w:val="sr-Latn-CS"/>
        </w:rPr>
        <w:t>bez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prijema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novih</w:t>
      </w:r>
    </w:p>
    <w:p w:rsidR="001251F2" w:rsidRDefault="001251F2" w:rsidP="008F1106">
      <w:pPr>
        <w:pStyle w:val="FootnoteText"/>
      </w:pPr>
    </w:p>
  </w:footnote>
  <w:footnote w:id="3">
    <w:p w:rsidR="001251F2" w:rsidRDefault="001251F2" w:rsidP="008F1106">
      <w:pPr>
        <w:pStyle w:val="FootnoteText"/>
      </w:pPr>
      <w:r w:rsidRPr="00321165">
        <w:rPr>
          <w:rStyle w:val="FootnoteReference"/>
          <w:rFonts w:ascii="Times New Roman" w:hAnsi="Times New Roman"/>
        </w:rPr>
        <w:footnoteRef/>
      </w:r>
      <w:r w:rsidRPr="00321165">
        <w:rPr>
          <w:rFonts w:ascii="Times New Roman" w:hAnsi="Times New Roman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Ovaj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broj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zamenika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javnog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tužioca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se</w:t>
      </w:r>
      <w:r w:rsidRPr="00AB2DE5">
        <w:rPr>
          <w:rFonts w:ascii="Times New Roman" w:hAnsi="Times New Roman"/>
          <w:noProof/>
          <w:lang w:val="sr-Latn-CS"/>
        </w:rPr>
        <w:t xml:space="preserve">  </w:t>
      </w:r>
      <w:r w:rsidR="00AB2DE5">
        <w:rPr>
          <w:rFonts w:ascii="Times New Roman" w:hAnsi="Times New Roman"/>
          <w:noProof/>
          <w:lang w:val="sr-Latn-CS"/>
        </w:rPr>
        <w:t>u</w:t>
      </w:r>
      <w:r w:rsidRPr="00AB2DE5">
        <w:rPr>
          <w:rFonts w:ascii="Times New Roman" w:hAnsi="Times New Roman"/>
          <w:noProof/>
          <w:lang w:val="sr-Latn-CS"/>
        </w:rPr>
        <w:t xml:space="preserve"> 2018. </w:t>
      </w:r>
      <w:r w:rsidR="00AB2DE5">
        <w:rPr>
          <w:rFonts w:ascii="Times New Roman" w:hAnsi="Times New Roman"/>
          <w:noProof/>
          <w:lang w:val="sr-Latn-CS"/>
        </w:rPr>
        <w:t>godini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obezbeđuje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preraspodelom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postojećeg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broja</w:t>
      </w:r>
      <w:r w:rsidRPr="00AB2DE5">
        <w:rPr>
          <w:rFonts w:ascii="Times New Roman" w:hAnsi="Times New Roman"/>
          <w:noProof/>
          <w:lang w:val="sr-Latn-CS"/>
        </w:rPr>
        <w:t xml:space="preserve">, </w:t>
      </w:r>
      <w:r w:rsidR="00AB2DE5">
        <w:rPr>
          <w:rFonts w:ascii="Times New Roman" w:hAnsi="Times New Roman"/>
          <w:noProof/>
          <w:lang w:val="sr-Latn-CS"/>
        </w:rPr>
        <w:t>bez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prijema</w:t>
      </w:r>
      <w:r w:rsidRPr="00AB2DE5">
        <w:rPr>
          <w:rFonts w:ascii="Times New Roman" w:hAnsi="Times New Roman"/>
          <w:noProof/>
          <w:lang w:val="sr-Latn-CS"/>
        </w:rPr>
        <w:t xml:space="preserve"> </w:t>
      </w:r>
      <w:r w:rsidR="00AB2DE5">
        <w:rPr>
          <w:rFonts w:ascii="Times New Roman" w:hAnsi="Times New Roman"/>
          <w:noProof/>
          <w:lang w:val="sr-Latn-CS"/>
        </w:rPr>
        <w:t>novi</w:t>
      </w:r>
      <w:r w:rsidR="00AB2DE5">
        <w:rPr>
          <w:rFonts w:ascii="Times New Roman" w:hAnsi="Times New Roman"/>
          <w:lang w:val="sr-Latn-CS"/>
        </w:rPr>
        <w:t>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F2" w:rsidRDefault="001251F2" w:rsidP="00E118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51F2" w:rsidRDefault="001251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F2" w:rsidRPr="00AB2DE5" w:rsidRDefault="00276F0C">
    <w:pPr>
      <w:pStyle w:val="Header"/>
      <w:jc w:val="center"/>
      <w:rPr>
        <w:noProof/>
        <w:lang w:val="sr-Latn-CS"/>
      </w:rPr>
    </w:pPr>
    <w:r w:rsidRPr="00AB2DE5">
      <w:rPr>
        <w:noProof/>
        <w:lang w:val="sr-Latn-CS"/>
      </w:rPr>
      <w:fldChar w:fldCharType="begin"/>
    </w:r>
    <w:r w:rsidRPr="00AB2DE5">
      <w:rPr>
        <w:noProof/>
        <w:lang w:val="sr-Latn-CS"/>
      </w:rPr>
      <w:instrText xml:space="preserve"> PAGE   \* MERGEFORMAT </w:instrText>
    </w:r>
    <w:r w:rsidRPr="00AB2DE5">
      <w:rPr>
        <w:noProof/>
        <w:lang w:val="sr-Latn-CS"/>
      </w:rPr>
      <w:fldChar w:fldCharType="separate"/>
    </w:r>
    <w:r w:rsidR="00AB2DE5">
      <w:rPr>
        <w:noProof/>
        <w:lang w:val="sr-Latn-CS"/>
      </w:rPr>
      <w:t>13</w:t>
    </w:r>
    <w:r w:rsidRPr="00AB2DE5">
      <w:rPr>
        <w:noProof/>
        <w:lang w:val="sr-Latn-CS"/>
      </w:rPr>
      <w:fldChar w:fldCharType="end"/>
    </w:r>
  </w:p>
  <w:p w:rsidR="001251F2" w:rsidRPr="00AB2DE5" w:rsidRDefault="001251F2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E5" w:rsidRDefault="00AB2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7"/>
    <w:rsid w:val="00014652"/>
    <w:rsid w:val="00034265"/>
    <w:rsid w:val="000361E3"/>
    <w:rsid w:val="00042C84"/>
    <w:rsid w:val="000477DD"/>
    <w:rsid w:val="00051965"/>
    <w:rsid w:val="00053789"/>
    <w:rsid w:val="00061131"/>
    <w:rsid w:val="00062373"/>
    <w:rsid w:val="0007496D"/>
    <w:rsid w:val="00084EE0"/>
    <w:rsid w:val="00093D33"/>
    <w:rsid w:val="000C7E82"/>
    <w:rsid w:val="000E16CC"/>
    <w:rsid w:val="000E4761"/>
    <w:rsid w:val="000E552D"/>
    <w:rsid w:val="000F12B5"/>
    <w:rsid w:val="001251F2"/>
    <w:rsid w:val="001632CF"/>
    <w:rsid w:val="00173037"/>
    <w:rsid w:val="001758AC"/>
    <w:rsid w:val="0018020B"/>
    <w:rsid w:val="00183A8B"/>
    <w:rsid w:val="00192C02"/>
    <w:rsid w:val="00193027"/>
    <w:rsid w:val="00193C17"/>
    <w:rsid w:val="001A0F13"/>
    <w:rsid w:val="001A2447"/>
    <w:rsid w:val="001A3815"/>
    <w:rsid w:val="001A66D3"/>
    <w:rsid w:val="001C0E4D"/>
    <w:rsid w:val="001D092B"/>
    <w:rsid w:val="001D5116"/>
    <w:rsid w:val="001E5CF3"/>
    <w:rsid w:val="001F3460"/>
    <w:rsid w:val="00216B35"/>
    <w:rsid w:val="00230A4C"/>
    <w:rsid w:val="00230C37"/>
    <w:rsid w:val="00240A6D"/>
    <w:rsid w:val="00241DEE"/>
    <w:rsid w:val="0024340D"/>
    <w:rsid w:val="00245FB8"/>
    <w:rsid w:val="00252244"/>
    <w:rsid w:val="0026120B"/>
    <w:rsid w:val="00265B46"/>
    <w:rsid w:val="00272490"/>
    <w:rsid w:val="0027590D"/>
    <w:rsid w:val="00276F0C"/>
    <w:rsid w:val="00277DA5"/>
    <w:rsid w:val="00283F0D"/>
    <w:rsid w:val="00284D21"/>
    <w:rsid w:val="00286A26"/>
    <w:rsid w:val="002915A5"/>
    <w:rsid w:val="0029442F"/>
    <w:rsid w:val="002B333E"/>
    <w:rsid w:val="002D0D2A"/>
    <w:rsid w:val="002D561E"/>
    <w:rsid w:val="002D7155"/>
    <w:rsid w:val="0030063D"/>
    <w:rsid w:val="00303651"/>
    <w:rsid w:val="00305389"/>
    <w:rsid w:val="00313112"/>
    <w:rsid w:val="0031435E"/>
    <w:rsid w:val="00321165"/>
    <w:rsid w:val="003353B1"/>
    <w:rsid w:val="00335821"/>
    <w:rsid w:val="003359B0"/>
    <w:rsid w:val="00337EB6"/>
    <w:rsid w:val="00366F29"/>
    <w:rsid w:val="00367973"/>
    <w:rsid w:val="00372A1A"/>
    <w:rsid w:val="003768E3"/>
    <w:rsid w:val="0037693A"/>
    <w:rsid w:val="00384821"/>
    <w:rsid w:val="00392325"/>
    <w:rsid w:val="003940A1"/>
    <w:rsid w:val="003956C1"/>
    <w:rsid w:val="003A2609"/>
    <w:rsid w:val="003B016C"/>
    <w:rsid w:val="003C7059"/>
    <w:rsid w:val="003C7D98"/>
    <w:rsid w:val="003E314B"/>
    <w:rsid w:val="003E74AB"/>
    <w:rsid w:val="003F3576"/>
    <w:rsid w:val="00406C8A"/>
    <w:rsid w:val="0041224A"/>
    <w:rsid w:val="004166FE"/>
    <w:rsid w:val="00424B8F"/>
    <w:rsid w:val="004255E0"/>
    <w:rsid w:val="00426E55"/>
    <w:rsid w:val="004317AA"/>
    <w:rsid w:val="004404F3"/>
    <w:rsid w:val="004418E2"/>
    <w:rsid w:val="0044261A"/>
    <w:rsid w:val="00442BCF"/>
    <w:rsid w:val="004534E8"/>
    <w:rsid w:val="00460352"/>
    <w:rsid w:val="00461445"/>
    <w:rsid w:val="0048613F"/>
    <w:rsid w:val="004900A5"/>
    <w:rsid w:val="00492AF2"/>
    <w:rsid w:val="004936FB"/>
    <w:rsid w:val="00495CC9"/>
    <w:rsid w:val="004974FB"/>
    <w:rsid w:val="004A7DB7"/>
    <w:rsid w:val="004B4A08"/>
    <w:rsid w:val="004C25FB"/>
    <w:rsid w:val="004D7AC4"/>
    <w:rsid w:val="004F3B8D"/>
    <w:rsid w:val="004F487C"/>
    <w:rsid w:val="004F4928"/>
    <w:rsid w:val="004F619D"/>
    <w:rsid w:val="004F76D5"/>
    <w:rsid w:val="00503145"/>
    <w:rsid w:val="00505533"/>
    <w:rsid w:val="005066D8"/>
    <w:rsid w:val="00514E17"/>
    <w:rsid w:val="005259D9"/>
    <w:rsid w:val="00525D54"/>
    <w:rsid w:val="0053041A"/>
    <w:rsid w:val="0053371C"/>
    <w:rsid w:val="0054094D"/>
    <w:rsid w:val="00544491"/>
    <w:rsid w:val="00553482"/>
    <w:rsid w:val="0055618F"/>
    <w:rsid w:val="0055756B"/>
    <w:rsid w:val="00577691"/>
    <w:rsid w:val="0058131A"/>
    <w:rsid w:val="0058673B"/>
    <w:rsid w:val="00586F1E"/>
    <w:rsid w:val="00591CA6"/>
    <w:rsid w:val="00594C1A"/>
    <w:rsid w:val="00595661"/>
    <w:rsid w:val="005B4F73"/>
    <w:rsid w:val="005D36DF"/>
    <w:rsid w:val="005D4A31"/>
    <w:rsid w:val="005D784A"/>
    <w:rsid w:val="005F6A9B"/>
    <w:rsid w:val="005F78A3"/>
    <w:rsid w:val="00612929"/>
    <w:rsid w:val="00615A43"/>
    <w:rsid w:val="0062167D"/>
    <w:rsid w:val="00633D00"/>
    <w:rsid w:val="006348D2"/>
    <w:rsid w:val="0065205B"/>
    <w:rsid w:val="00656523"/>
    <w:rsid w:val="00664FDA"/>
    <w:rsid w:val="00670A7F"/>
    <w:rsid w:val="00672025"/>
    <w:rsid w:val="00672C37"/>
    <w:rsid w:val="00675876"/>
    <w:rsid w:val="00684758"/>
    <w:rsid w:val="006951E1"/>
    <w:rsid w:val="0069611C"/>
    <w:rsid w:val="006C0242"/>
    <w:rsid w:val="006C0822"/>
    <w:rsid w:val="006C3F7B"/>
    <w:rsid w:val="006D2142"/>
    <w:rsid w:val="006D699C"/>
    <w:rsid w:val="006D75D9"/>
    <w:rsid w:val="006D7E76"/>
    <w:rsid w:val="00712821"/>
    <w:rsid w:val="00715029"/>
    <w:rsid w:val="00723AAC"/>
    <w:rsid w:val="00725B6D"/>
    <w:rsid w:val="007326D4"/>
    <w:rsid w:val="00736462"/>
    <w:rsid w:val="00737DAA"/>
    <w:rsid w:val="00746CC0"/>
    <w:rsid w:val="0076458B"/>
    <w:rsid w:val="00776912"/>
    <w:rsid w:val="00782098"/>
    <w:rsid w:val="007840E9"/>
    <w:rsid w:val="00790D3B"/>
    <w:rsid w:val="00791E72"/>
    <w:rsid w:val="007A29CE"/>
    <w:rsid w:val="007A4EE0"/>
    <w:rsid w:val="007A5633"/>
    <w:rsid w:val="007A6C8C"/>
    <w:rsid w:val="007B07FD"/>
    <w:rsid w:val="007B16AE"/>
    <w:rsid w:val="007C3B16"/>
    <w:rsid w:val="007D0D76"/>
    <w:rsid w:val="007E0860"/>
    <w:rsid w:val="007E4079"/>
    <w:rsid w:val="007E6A2B"/>
    <w:rsid w:val="007F348B"/>
    <w:rsid w:val="00800E05"/>
    <w:rsid w:val="008025A7"/>
    <w:rsid w:val="0080744E"/>
    <w:rsid w:val="00823984"/>
    <w:rsid w:val="008312F4"/>
    <w:rsid w:val="00836936"/>
    <w:rsid w:val="00846E5D"/>
    <w:rsid w:val="00861B17"/>
    <w:rsid w:val="00876BBD"/>
    <w:rsid w:val="0088015A"/>
    <w:rsid w:val="0089527E"/>
    <w:rsid w:val="00897D76"/>
    <w:rsid w:val="008A5201"/>
    <w:rsid w:val="008B1AEF"/>
    <w:rsid w:val="008C23AB"/>
    <w:rsid w:val="008C36C7"/>
    <w:rsid w:val="008C4911"/>
    <w:rsid w:val="008D0D7D"/>
    <w:rsid w:val="008D2CEF"/>
    <w:rsid w:val="008D561A"/>
    <w:rsid w:val="008E70FD"/>
    <w:rsid w:val="008F0391"/>
    <w:rsid w:val="008F0404"/>
    <w:rsid w:val="008F067E"/>
    <w:rsid w:val="008F1106"/>
    <w:rsid w:val="008F136A"/>
    <w:rsid w:val="008F1373"/>
    <w:rsid w:val="008F20D1"/>
    <w:rsid w:val="008F384C"/>
    <w:rsid w:val="008F64F8"/>
    <w:rsid w:val="008F7A71"/>
    <w:rsid w:val="009033DF"/>
    <w:rsid w:val="00903FF4"/>
    <w:rsid w:val="00907145"/>
    <w:rsid w:val="009121A9"/>
    <w:rsid w:val="00914805"/>
    <w:rsid w:val="00917DD1"/>
    <w:rsid w:val="0092117B"/>
    <w:rsid w:val="0093061B"/>
    <w:rsid w:val="009319A2"/>
    <w:rsid w:val="00932292"/>
    <w:rsid w:val="00934D1D"/>
    <w:rsid w:val="0093676E"/>
    <w:rsid w:val="009447BF"/>
    <w:rsid w:val="00952937"/>
    <w:rsid w:val="00961EB7"/>
    <w:rsid w:val="009677BE"/>
    <w:rsid w:val="0098056B"/>
    <w:rsid w:val="00982D1E"/>
    <w:rsid w:val="0098707E"/>
    <w:rsid w:val="009A17C8"/>
    <w:rsid w:val="009A1E22"/>
    <w:rsid w:val="009A6E4F"/>
    <w:rsid w:val="009A76DD"/>
    <w:rsid w:val="009E2F7A"/>
    <w:rsid w:val="009F43BE"/>
    <w:rsid w:val="00A01944"/>
    <w:rsid w:val="00A02D3F"/>
    <w:rsid w:val="00A03B11"/>
    <w:rsid w:val="00A04343"/>
    <w:rsid w:val="00A110FD"/>
    <w:rsid w:val="00A17684"/>
    <w:rsid w:val="00A21B11"/>
    <w:rsid w:val="00A23F72"/>
    <w:rsid w:val="00A36635"/>
    <w:rsid w:val="00A37AC9"/>
    <w:rsid w:val="00A53042"/>
    <w:rsid w:val="00A6185B"/>
    <w:rsid w:val="00A61B3C"/>
    <w:rsid w:val="00A6713D"/>
    <w:rsid w:val="00A734EC"/>
    <w:rsid w:val="00A8521E"/>
    <w:rsid w:val="00AA0629"/>
    <w:rsid w:val="00AB2DE5"/>
    <w:rsid w:val="00AB7AD0"/>
    <w:rsid w:val="00AC0246"/>
    <w:rsid w:val="00AC12BF"/>
    <w:rsid w:val="00AD2430"/>
    <w:rsid w:val="00AD51FD"/>
    <w:rsid w:val="00AD615A"/>
    <w:rsid w:val="00B00B97"/>
    <w:rsid w:val="00B11A47"/>
    <w:rsid w:val="00B1568A"/>
    <w:rsid w:val="00B209B5"/>
    <w:rsid w:val="00B209D0"/>
    <w:rsid w:val="00B20F31"/>
    <w:rsid w:val="00B3485D"/>
    <w:rsid w:val="00B47E3F"/>
    <w:rsid w:val="00B5147D"/>
    <w:rsid w:val="00B568E4"/>
    <w:rsid w:val="00B66260"/>
    <w:rsid w:val="00B70D6A"/>
    <w:rsid w:val="00B9377C"/>
    <w:rsid w:val="00BA3AF7"/>
    <w:rsid w:val="00BA64F6"/>
    <w:rsid w:val="00BA6EB1"/>
    <w:rsid w:val="00BA767F"/>
    <w:rsid w:val="00BC31AE"/>
    <w:rsid w:val="00BC60EA"/>
    <w:rsid w:val="00BF0148"/>
    <w:rsid w:val="00BF4BB0"/>
    <w:rsid w:val="00BF5FAE"/>
    <w:rsid w:val="00C11757"/>
    <w:rsid w:val="00C119B1"/>
    <w:rsid w:val="00C24D94"/>
    <w:rsid w:val="00C25630"/>
    <w:rsid w:val="00C26C97"/>
    <w:rsid w:val="00C270DC"/>
    <w:rsid w:val="00C3177C"/>
    <w:rsid w:val="00C333E6"/>
    <w:rsid w:val="00C35435"/>
    <w:rsid w:val="00C36916"/>
    <w:rsid w:val="00C41433"/>
    <w:rsid w:val="00C42C6F"/>
    <w:rsid w:val="00C4329F"/>
    <w:rsid w:val="00C43818"/>
    <w:rsid w:val="00C451FA"/>
    <w:rsid w:val="00C464A0"/>
    <w:rsid w:val="00C467E0"/>
    <w:rsid w:val="00C501DB"/>
    <w:rsid w:val="00C51157"/>
    <w:rsid w:val="00C62E5A"/>
    <w:rsid w:val="00C676D5"/>
    <w:rsid w:val="00C7169F"/>
    <w:rsid w:val="00C8005E"/>
    <w:rsid w:val="00C82084"/>
    <w:rsid w:val="00C83DDB"/>
    <w:rsid w:val="00C87F0F"/>
    <w:rsid w:val="00C9343E"/>
    <w:rsid w:val="00CA1B4E"/>
    <w:rsid w:val="00CA2854"/>
    <w:rsid w:val="00CB362C"/>
    <w:rsid w:val="00CC0F92"/>
    <w:rsid w:val="00CC0FAE"/>
    <w:rsid w:val="00CC344E"/>
    <w:rsid w:val="00CC3866"/>
    <w:rsid w:val="00CC4302"/>
    <w:rsid w:val="00CE10CB"/>
    <w:rsid w:val="00CE665F"/>
    <w:rsid w:val="00CE6AEF"/>
    <w:rsid w:val="00CF74E2"/>
    <w:rsid w:val="00D01747"/>
    <w:rsid w:val="00D02C33"/>
    <w:rsid w:val="00D13F20"/>
    <w:rsid w:val="00D20567"/>
    <w:rsid w:val="00D20D42"/>
    <w:rsid w:val="00D303FC"/>
    <w:rsid w:val="00D3225C"/>
    <w:rsid w:val="00D61501"/>
    <w:rsid w:val="00D62ADA"/>
    <w:rsid w:val="00D7224D"/>
    <w:rsid w:val="00D73631"/>
    <w:rsid w:val="00D743AB"/>
    <w:rsid w:val="00D769C5"/>
    <w:rsid w:val="00D77675"/>
    <w:rsid w:val="00D866C4"/>
    <w:rsid w:val="00D947AD"/>
    <w:rsid w:val="00D94948"/>
    <w:rsid w:val="00DA2AED"/>
    <w:rsid w:val="00DA4D95"/>
    <w:rsid w:val="00DB3D94"/>
    <w:rsid w:val="00DB6282"/>
    <w:rsid w:val="00DC33D2"/>
    <w:rsid w:val="00DD278E"/>
    <w:rsid w:val="00DE0A20"/>
    <w:rsid w:val="00DE117C"/>
    <w:rsid w:val="00DE46EF"/>
    <w:rsid w:val="00DF1765"/>
    <w:rsid w:val="00DF47FD"/>
    <w:rsid w:val="00DF5F98"/>
    <w:rsid w:val="00DF7915"/>
    <w:rsid w:val="00E02E7C"/>
    <w:rsid w:val="00E11845"/>
    <w:rsid w:val="00E13F0A"/>
    <w:rsid w:val="00E14C1A"/>
    <w:rsid w:val="00E157E1"/>
    <w:rsid w:val="00E165E9"/>
    <w:rsid w:val="00E234E0"/>
    <w:rsid w:val="00E301EF"/>
    <w:rsid w:val="00E42B6F"/>
    <w:rsid w:val="00E45DC7"/>
    <w:rsid w:val="00E50698"/>
    <w:rsid w:val="00E57043"/>
    <w:rsid w:val="00E6341E"/>
    <w:rsid w:val="00E67340"/>
    <w:rsid w:val="00E75D76"/>
    <w:rsid w:val="00E82728"/>
    <w:rsid w:val="00E86B77"/>
    <w:rsid w:val="00EA51B3"/>
    <w:rsid w:val="00EB14AD"/>
    <w:rsid w:val="00EB2750"/>
    <w:rsid w:val="00EC43CC"/>
    <w:rsid w:val="00EC60F2"/>
    <w:rsid w:val="00EC7A24"/>
    <w:rsid w:val="00ED37E7"/>
    <w:rsid w:val="00EE274C"/>
    <w:rsid w:val="00F12341"/>
    <w:rsid w:val="00F159EF"/>
    <w:rsid w:val="00F21371"/>
    <w:rsid w:val="00F217B9"/>
    <w:rsid w:val="00F30CE9"/>
    <w:rsid w:val="00F31C9E"/>
    <w:rsid w:val="00F3318C"/>
    <w:rsid w:val="00F337ED"/>
    <w:rsid w:val="00F47762"/>
    <w:rsid w:val="00F47D8F"/>
    <w:rsid w:val="00F62E9A"/>
    <w:rsid w:val="00F70B8A"/>
    <w:rsid w:val="00F777D7"/>
    <w:rsid w:val="00F85099"/>
    <w:rsid w:val="00F944E0"/>
    <w:rsid w:val="00F95FA0"/>
    <w:rsid w:val="00FA547E"/>
    <w:rsid w:val="00FA6FC7"/>
    <w:rsid w:val="00FB7D25"/>
    <w:rsid w:val="00FC07B6"/>
    <w:rsid w:val="00FE640B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E251BEE0-9AB6-4726-850E-76BF58AC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5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C51157"/>
    <w:pPr>
      <w:spacing w:before="100" w:beforeAutospacing="1" w:after="100" w:afterAutospacing="1" w:line="240" w:lineRule="auto"/>
    </w:pPr>
    <w:rPr>
      <w:rFonts w:ascii="Arial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rsid w:val="00C51157"/>
    <w:pPr>
      <w:tabs>
        <w:tab w:val="center" w:pos="4320"/>
        <w:tab w:val="right" w:pos="8640"/>
      </w:tabs>
      <w:spacing w:after="0" w:line="240" w:lineRule="auto"/>
    </w:pPr>
    <w:rPr>
      <w:rFonts w:ascii="CTimesRoman" w:hAnsi="CTimes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1157"/>
    <w:rPr>
      <w:rFonts w:ascii="CTimesRoman" w:hAnsi="CTimes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51157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1157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09D0"/>
    <w:rPr>
      <w:rFonts w:ascii="Calibri" w:hAnsi="Calibri" w:cs="Times New Roman"/>
    </w:rPr>
  </w:style>
  <w:style w:type="paragraph" w:styleId="NoSpacing">
    <w:name w:val="No Spacing"/>
    <w:link w:val="NoSpacingChar"/>
    <w:uiPriority w:val="99"/>
    <w:qFormat/>
    <w:rsid w:val="00F85099"/>
    <w:rPr>
      <w:rFonts w:eastAsia="Times New Roman"/>
      <w:lang w:eastAsia="ja-JP"/>
    </w:rPr>
  </w:style>
  <w:style w:type="character" w:customStyle="1" w:styleId="NoSpacingChar">
    <w:name w:val="No Spacing Char"/>
    <w:link w:val="NoSpacing"/>
    <w:uiPriority w:val="99"/>
    <w:locked/>
    <w:rsid w:val="00F85099"/>
    <w:rPr>
      <w:rFonts w:eastAsia="Times New Roman"/>
      <w:sz w:val="22"/>
      <w:lang w:eastAsia="ja-JP"/>
    </w:rPr>
  </w:style>
  <w:style w:type="paragraph" w:customStyle="1" w:styleId="wyq060---pododeljak">
    <w:name w:val="wyq060---pododeljak"/>
    <w:basedOn w:val="Normal"/>
    <w:uiPriority w:val="99"/>
    <w:rsid w:val="003353B1"/>
    <w:pPr>
      <w:spacing w:after="0" w:line="240" w:lineRule="auto"/>
      <w:jc w:val="center"/>
    </w:pPr>
    <w:rPr>
      <w:rFonts w:ascii="Arial" w:hAnsi="Arial" w:cs="Arial"/>
      <w:sz w:val="31"/>
      <w:szCs w:val="31"/>
    </w:rPr>
  </w:style>
  <w:style w:type="paragraph" w:styleId="BalloonText">
    <w:name w:val="Balloon Text"/>
    <w:basedOn w:val="Normal"/>
    <w:link w:val="BalloonTextChar"/>
    <w:uiPriority w:val="99"/>
    <w:semiHidden/>
    <w:rsid w:val="0059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CA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C33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333E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333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5342</Words>
  <Characters>30456</Characters>
  <Application>Microsoft Office Word</Application>
  <DocSecurity>0</DocSecurity>
  <Lines>253</Lines>
  <Paragraphs>71</Paragraphs>
  <ScaleCrop>false</ScaleCrop>
  <Company>Hewlett-Packard Company</Company>
  <LinksUpToDate>false</LinksUpToDate>
  <CharactersWithSpaces>35727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Bojan Grgic</cp:lastModifiedBy>
  <cp:revision>2</cp:revision>
  <cp:lastPrinted>2016-11-09T11:55:00Z</cp:lastPrinted>
  <dcterms:created xsi:type="dcterms:W3CDTF">2016-11-10T10:41:00Z</dcterms:created>
  <dcterms:modified xsi:type="dcterms:W3CDTF">2016-11-10T10:41:00Z</dcterms:modified>
</cp:coreProperties>
</file>